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285" w:firstLine="0"/>
        <w:jc w:val="right"/>
        <w:rPr/>
      </w:pPr>
      <w:r w:rsidDel="00000000" w:rsidR="00000000" w:rsidRPr="00000000">
        <w:rPr/>
        <w:drawing>
          <wp:inline distB="0" distT="0" distL="0" distR="0">
            <wp:extent cx="5731510" cy="571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8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do zapytania ofertowego nr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02A/WYKWALIFIKOWANI/PAAP/2026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center" w:leader="none" w:pos="4536"/>
        </w:tabs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center" w:leader="none" w:pos="4536"/>
          <w:tab w:val="right" w:leader="none" w:pos="9072"/>
        </w:tabs>
        <w:spacing w:before="240" w:line="360" w:lineRule="auto"/>
        <w:ind w:left="120" w:right="-40" w:firstLine="0"/>
        <w:jc w:val="center"/>
        <w:rPr>
          <w:rFonts w:ascii="Cambria" w:cs="Cambria" w:eastAsia="Cambria" w:hAnsi="Cambria"/>
          <w:b w:val="1"/>
          <w:bCs w:val="1"/>
          <w:color w:val="36609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8"/>
          <w:szCs w:val="28"/>
          <w:rtl w:val="0"/>
        </w:rPr>
        <w:t xml:space="preserve">LISTA SPRAWDZAJĄCA </w:t>
        <w:br w:type="textWrapping"/>
        <w:t xml:space="preserve">do weryfikacji, czy dany dokument można uznać za potwierdzający kwalifikację (</w:t>
      </w:r>
      <w:r w:rsidDel="00000000" w:rsidR="00000000" w:rsidRPr="00000000">
        <w:rPr>
          <w:rFonts w:ascii="Roboto" w:cs="Roboto" w:eastAsia="Roboto" w:hAnsi="Roboto"/>
          <w:color w:val="000000"/>
          <w:sz w:val="28"/>
          <w:szCs w:val="28"/>
          <w:rtl w:val="0"/>
        </w:rPr>
        <w:t xml:space="preserve">niewłączoną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8"/>
          <w:szCs w:val="28"/>
          <w:rtl w:val="0"/>
        </w:rPr>
        <w:t xml:space="preserve">do Zintegrowanego Systemu Kwalifikacji)/kompetencję na potrzeby mierzenia wskaźników monitorowania EFS+ dot. uzyskiwania kwalifikacji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center" w:leader="none" w:pos="4536"/>
        </w:tabs>
        <w:spacing w:after="0" w:line="240" w:lineRule="auto"/>
        <w:rPr>
          <w:rFonts w:ascii="Roboto" w:cs="Roboto" w:eastAsia="Roboto" w:hAnsi="Roboto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4536"/>
        </w:tabs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4536"/>
        </w:tabs>
        <w:spacing w:after="0" w:line="240" w:lineRule="auto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 Wykonawcy: 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NIP/PESEL 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związku z ubieganiem się o udzielenie zamówienia w ramach postępowania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nr 02A/WYKWALIFIKOWANI/PAAP/2026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ogłoszonego w związku z realizacją projektu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„PODKARPACKI AKCELERATOR ADAPTACJI PRZEDSIĘBIORSTW - wsparcie na rzecz zrównoważonego pod względem płci uczestnictwa w rynku pracy i zwalczania wszelkich form dyskryminacji na podkarpackim rynku pracy”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niniejszym oświadczam, że w ramach walidacji efektów uczenia się  zostanie zapewniona przez zewnętrzny podmiot w stosunku do instytucji szkoleniowej lub w jednej instytucji szkoleniowej proces walidacji jest prowadzony przez inną osobę aniżeli proces kształcenia), zaś  potwierdzeniem nabycia kompetencji będzie dokument zawierający wyszczególnione efekty uczenia się odnoszące się do nabytej kompetencji.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5.0" w:type="dxa"/>
        <w:jc w:val="left"/>
        <w:tblInd w:w="-25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6899"/>
        <w:gridCol w:w="1186"/>
        <w:gridCol w:w="1110"/>
        <w:tblGridChange w:id="0">
          <w:tblGrid>
            <w:gridCol w:w="6899"/>
            <w:gridCol w:w="1186"/>
            <w:gridCol w:w="11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Pytanie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TAK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NIE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-1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12">
            <w:pPr>
              <w:numPr>
                <w:ilvl w:val="0"/>
                <w:numId w:val="4"/>
              </w:numPr>
              <w:spacing w:after="0" w:before="12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Kwalifikacje uznawane na rynku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wydany dokument jest potwierdzeniem uzyskania kwalifikacji w zawodzie?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został wydany przez organy władz publicznych lub samorządów zawodowych na podstawie ustawy lub rozporządzenia?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 uprawnienia do wykonywania zawodu na danym stanowisku (tzw. uprawnienia stanowiskowe) i jest wydawany po przeprowadzeniu walidacji?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potwierdzający uzyskanie kwalifikacji jest rozpoznawalny i uznawalny w danej branży/sektorze (czy certyfikat otrzymał pozytywne rekomendacje od co najmniej 5 pracodawców danej branży/ sektorów lub związku branżowego, zrzeszającego pracodawców danej branży/sektorów)?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jest certyfikatem, dla którego wypracowano system walidacji i certyfikowania efektów uczenia się na poziomie międzynarodowym?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spacing w:after="240" w:line="36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Jeżeli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co najmniej jedna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 z odpowiedzi jest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twierdząca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dany dokument można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uznać za potwierdzający uzyskanie kwalifikacji.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Jeżeli na żadne z powyższych pytań nie udzielono odpowiedzi twierdzącej, należy przejść do pkt II.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Warunki umożliwiające uznanie danego dokumentu za potwierdzający uzyskanie kompetencji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potwierdzający uzyskanie kompetencji zawiera opis efektów uczenia się</w:t>
            </w: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potwierdza, że walidacja została przeprowadzona w oparciu o zdefiniowane w efektach uczenia się kryteria ich weryfikacji?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 zastosowanie rozwiązań zapewniających rozdzielenie procesów kształcenia i szkolenia od walidacji?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Jeżeli na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każde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 z powyższych pytań z części II listy odpowiedź jest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twierdząca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, dany dokument można uznać za potwierdzający uzyskanie kompetencji.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tabs>
          <w:tab w:val="center" w:leader="none" w:pos="4536"/>
          <w:tab w:val="right" w:leader="none" w:pos="9072"/>
        </w:tabs>
        <w:spacing w:after="20" w:before="20" w:line="240" w:lineRule="auto"/>
        <w:ind w:left="1440" w:firstLine="0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center" w:leader="none" w:pos="4536"/>
          <w:tab w:val="right" w:leader="none" w:pos="9072"/>
        </w:tabs>
        <w:spacing w:after="20" w:before="20" w:line="240" w:lineRule="auto"/>
        <w:ind w:left="1440" w:firstLine="0"/>
        <w:rPr>
          <w:rFonts w:ascii="Roboto" w:cs="Roboto" w:eastAsia="Roboto" w:hAnsi="Roboto"/>
          <w:b w:val="1"/>
          <w:b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Roboto" w:cs="Roboto" w:eastAsia="Roboto" w:hAnsi="Roboto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12.0" w:type="dxa"/>
        <w:jc w:val="center"/>
        <w:tblBorders>
          <w:top w:color="000000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blBorders>
        <w:tblLayout w:type="fixed"/>
        <w:tblLook w:val="00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rHeight w:val="1008" w:hRule="atLeast"/>
          <w:tblHeader w:val="0"/>
        </w:trPr>
        <w:tc>
          <w:tcPr>
            <w:tcBorders>
              <w:top w:color="000000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ind w:left="646" w:firstLine="0"/>
              <w:jc w:val="both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jc w:val="both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both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spacing w:after="160" w:line="256" w:lineRule="auto"/>
        <w:rPr>
          <w:rFonts w:ascii="Roboto" w:cs="Roboto" w:eastAsia="Roboto" w:hAnsi="Roboto"/>
          <w:b w:val="1"/>
          <w:bCs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1"/>
        <w:spacing w:after="0" w:lineRule="auto"/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566" w:top="627" w:left="1440" w:right="1440" w:header="570" w:footer="39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4B">
      <w:pPr>
        <w:spacing w:after="0" w:lineRule="auto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Każdy z efektów uczenia się powinien zostać krótko opisany i doprecyzowany przez kryteria weryfikacji. Każdy efekt uczenia się ma zwykle kilka kryteriów weryfikacji. Kryteria weryfikacji to działania, które powinna wykonać osoba w trakcie weryfikacji, aby udowodnić, że ma wymagane efekty uczenia się. Kryteria opisują dokładnie to, co potwierdza dokument. Poszczególne efekty uczenia się powinny być: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ab/>
        <w:t xml:space="preserve">jednoznaczne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niebudzące wątpliwości, pozwalające na zaplanowanie i przeprowadzenie walidacji, których wyniki będą porównywalne;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realne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możliwe do osiągnięcia przez osoby, dla których dana kompetencja jest przewidziana;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możliwe do zweryfikowania podczas walidacji;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zrozumiałe dla osób potencjalnie zainteresowanych kompetencją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Rule="auto"/>
        <w:ind w:left="120" w:right="38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Podczas opisywania poszczególnych efektów uczenia się, korzystne jest stosowanie czasowników operacyjnych (np. rozróżnia, uzasadnia, montuje).</w:t>
      </w:r>
    </w:p>
    <w:p w:rsidR="00000000" w:rsidDel="00000000" w:rsidP="00000000" w:rsidRDefault="00000000" w:rsidRPr="00000000" w14:paraId="00000051">
      <w:pPr>
        <w:spacing w:after="0" w:lineRule="auto"/>
        <w:ind w:left="120" w:right="500" w:firstLine="0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Przykłady opisów efektów uczenia się (ich zakresu i poziomu szczegółowości) można znaleźć w ZRK w odniesieniu do kwalifikacji rynkowych.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rPr/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2">
    <w:lvl w:ilvl="0">
      <w:start w:val="2"/>
      <w:numFmt w:val="upperRoman"/>
      <w:lvlText w:val="%1."/>
      <w:lvlJc w:val="right"/>
      <w:pPr>
        <w:ind w:left="720" w:hanging="360"/>
      </w:pPr>
      <w:rPr>
        <w:rFonts w:ascii="Roboto" w:cs="Roboto" w:eastAsia="Roboto" w:hAnsi="Roboto"/>
        <w:b w:val="1"/>
        <w:bCs w:val="1"/>
        <w:sz w:val="24"/>
        <w:szCs w:val="24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upperRoman"/>
      <w:lvlText w:val="%1."/>
      <w:lvlJc w:val="right"/>
      <w:pPr>
        <w:ind w:left="720" w:hanging="360"/>
      </w:pPr>
      <w:rPr>
        <w:rFonts w:ascii="Roboto" w:cs="Roboto" w:eastAsia="Roboto" w:hAnsi="Roboto"/>
        <w:b w:val="1"/>
        <w:bCs w:val="1"/>
        <w:sz w:val="24"/>
        <w:szCs w:val="24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rFonts w:ascii="Roboto" w:cs="Roboto" w:eastAsia="Roboto" w:hAnsi="Roboto"/>
        <w:b w:val="1"/>
        <w:bCs w:val="1"/>
        <w:sz w:val="24"/>
        <w:szCs w:val="24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/zbA5dwW/wjkNtosmehVRIViaw==">CgMxLjAyCGguZ2pkZ3hzOAByITFjVlF1UFJ0WXFUNmxLUU02anF3UVJlVndfS1JUblJYYg==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